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before="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2C2D2E"/>
          <w:spacing w:val="0"/>
          <w:sz w:val="27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C2D2E"/>
          <w:spacing w:val="0"/>
          <w:sz w:val="27"/>
          <w:highlight w:val="white"/>
        </w:rPr>
        <w:t>Описание</w:t>
      </w:r>
    </w:p>
    <w:p w14:paraId="02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C2D2E"/>
          <w:spacing w:val="0"/>
          <w:sz w:val="20"/>
          <w:highlight w:val="white"/>
        </w:rPr>
      </w:pPr>
    </w:p>
    <w:p w14:paraId="03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C2D2E"/>
          <w:spacing w:val="0"/>
          <w:sz w:val="20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C2D2E"/>
          <w:spacing w:val="0"/>
          <w:sz w:val="27"/>
          <w:highlight w:val="white"/>
        </w:rPr>
        <w:t>Приглашенный эксперт: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7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7"/>
          <w:highlight w:val="white"/>
        </w:rPr>
        <w:t xml:space="preserve">Денис Косяков, заместитель заведующего научной лабораторией наукометрии и научных коммуникаций РИЭПП, научный сотрудник лаборатории ИИ и информационных технологий </w:t>
      </w:r>
      <w:r>
        <w:rPr>
          <w:rFonts w:ascii="Times New Roman" w:hAnsi="Times New Roman"/>
          <w:b w:val="0"/>
          <w:i w:val="0"/>
          <w:caps w:val="0"/>
          <w:color w:val="1F1F1F"/>
          <w:spacing w:val="0"/>
          <w:sz w:val="27"/>
          <w:highlight w:val="white"/>
        </w:rPr>
        <w:t>Института вычислительной математики и математической геофизики СО РАН</w:t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7"/>
          <w:highlight w:val="white"/>
        </w:rPr>
        <w:t xml:space="preserve"> (ИВМиМГ СО РАН).</w:t>
      </w:r>
    </w:p>
    <w:p w14:paraId="04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C2D2E"/>
          <w:spacing w:val="0"/>
          <w:sz w:val="20"/>
          <w:highlight w:val="white"/>
        </w:rPr>
      </w:pPr>
    </w:p>
    <w:p w14:paraId="05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C2D2E"/>
          <w:spacing w:val="0"/>
          <w:sz w:val="20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7"/>
          <w:highlight w:val="white"/>
        </w:rPr>
        <w:t>С февраля 2022 г. мы видим разные прогнозы и анализы текущей ситуации в российской научной сфере. Катастрофические варианты, связанные с глобальной изоляцией российской науки и массовым исходом исследователей, обсуждавшиеся в самом начале этого витка геополитического противостояния, не реализовались. Не случилось и добровольной самоизоляции российской науки, поворота на восток, разрыва отношений с «загнивающим» Западом.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7"/>
          <w:highlight w:val="white"/>
        </w:rPr>
        <w:t>В анализе последствий также находится место разным точкам зрения: некоторые видят в текущих процессах признаки деградации, другие – будущего развития на более прагматичных, прикладных основах, а кому-то кажется, что принципиально ничего не изменилось. Вряд ли кто-то возьмется сейчас обоснованно и аргументировано разбирать всю сложную совокупность противоречивых процессов, происходящих в российской науке, тем более в контексте глобальных изменений.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7"/>
          <w:highlight w:val="white"/>
        </w:rPr>
        <w:t>На этом вебинаре мы попробуем охарактеризовать ситуацию с наукометрической точки зрения, проанализировать, насколько реальны и обоснованны основные опасения и объяснения происходящего.</w:t>
      </w:r>
    </w:p>
    <w:p w14:paraId="06000000">
      <w:pPr>
        <w:rPr>
          <w:rFonts w:ascii="Times New Roman" w:hAnsi="Times New Roman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basedOn w:val="Style_11"/>
    <w:link w:val="Style_10_ch"/>
    <w:rPr>
      <w:color w:themeColor="hyperlink" w:val="0563C1"/>
      <w:u w:val="single"/>
    </w:rPr>
  </w:style>
  <w:style w:styleId="Style_10_ch" w:type="character">
    <w:name w:val="Hyperlink"/>
    <w:basedOn w:val="Style_11_ch"/>
    <w:link w:val="Style_10"/>
    <w:rPr>
      <w:color w:themeColor="hyperlink" w:val="0563C1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7" w:type="paragraph">
    <w:name w:val="toc 5"/>
    <w:next w:val="Style_1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MyOffice-CoreFramework-Windows/22-903.417.5503.534.9@RELEASE-DESKTOP-SORREL_HOME-RC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2024-11-26T18:51:02Z</dcterms:modified>
</cp:coreProperties>
</file>